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4F0EF" w:themeColor="accent1" w:themeTint="33"/>
  <w:body>
    <w:p w:rsidR="00285541" w:rsidRDefault="00CF04B6">
      <w:pPr>
        <w:jc w:val="center"/>
        <w:rPr>
          <w:b/>
          <w:sz w:val="32"/>
          <w:szCs w:val="32"/>
        </w:rPr>
      </w:pPr>
      <w:r w:rsidRPr="00B93733">
        <w:rPr>
          <w:b/>
          <w:sz w:val="32"/>
          <w:szCs w:val="32"/>
        </w:rPr>
        <w:t xml:space="preserve">ÉCOLE DE </w:t>
      </w:r>
      <w:smartTag w:uri="urn:schemas-microsoft-com:office:smarttags" w:element="PersonName">
        <w:smartTagPr>
          <w:attr w:name="ProductID" w:val="LA FAUNE ET DE"/>
        </w:smartTagPr>
        <w:smartTag w:uri="urn:schemas-microsoft-com:office:smarttags" w:element="PersonName">
          <w:smartTagPr>
            <w:attr w:name="ProductID" w:val="LA FAUNE ET"/>
          </w:smartTagPr>
          <w:r w:rsidRPr="00B93733">
            <w:rPr>
              <w:b/>
              <w:sz w:val="32"/>
              <w:szCs w:val="32"/>
            </w:rPr>
            <w:t>LA FAUNE ET</w:t>
          </w:r>
        </w:smartTag>
        <w:r w:rsidRPr="00B93733">
          <w:rPr>
            <w:b/>
            <w:sz w:val="32"/>
            <w:szCs w:val="32"/>
          </w:rPr>
          <w:t xml:space="preserve"> DE</w:t>
        </w:r>
      </w:smartTag>
      <w:r w:rsidRPr="00B93733">
        <w:rPr>
          <w:b/>
          <w:sz w:val="32"/>
          <w:szCs w:val="32"/>
        </w:rPr>
        <w:t xml:space="preserve"> LA FLORE</w:t>
      </w:r>
    </w:p>
    <w:p w:rsidR="00285541" w:rsidRDefault="00CF04B6">
      <w:pPr>
        <w:jc w:val="center"/>
        <w:rPr>
          <w:b/>
        </w:rPr>
      </w:pPr>
      <w:r w:rsidRPr="007E553D">
        <w:rPr>
          <w:b/>
        </w:rPr>
        <w:t>OBJECTIFS ET CONTENU DU PROGRAMME</w:t>
      </w:r>
    </w:p>
    <w:p w:rsidR="00285541" w:rsidRDefault="00CF04B6">
      <w:pPr>
        <w:jc w:val="center"/>
        <w:rPr>
          <w:b/>
          <w:sz w:val="28"/>
          <w:szCs w:val="28"/>
        </w:rPr>
      </w:pPr>
      <w:r w:rsidRPr="007E553D">
        <w:rPr>
          <w:b/>
          <w:sz w:val="28"/>
          <w:szCs w:val="28"/>
        </w:rPr>
        <w:t>BOTANIQUE</w:t>
      </w:r>
    </w:p>
    <w:p w:rsidR="00285541" w:rsidRDefault="00CF04B6">
      <w:pPr>
        <w:pStyle w:val="Titre1"/>
      </w:pPr>
      <w:r w:rsidRPr="00C61F60">
        <w:t>OBJECTIFS</w:t>
      </w:r>
    </w:p>
    <w:p w:rsidR="00285541" w:rsidRDefault="00CF04B6">
      <w:r w:rsidRPr="00C61F60">
        <w:t>Acquérir une vision globale du monde végétal; une bonne connaissance du langage propre à la taxonomie, une connaissance des principales caractéristiques des grands groupes végétaux et une compréhension de l’application de ces connaissances dans la systématique et la physiologie.</w:t>
      </w:r>
    </w:p>
    <w:p w:rsidR="00285541" w:rsidRDefault="00CF04B6">
      <w:pPr>
        <w:pStyle w:val="Titre1"/>
      </w:pPr>
      <w:r w:rsidRPr="00C61F60">
        <w:t>CONTENU</w:t>
      </w:r>
    </w:p>
    <w:p w:rsidR="00285541" w:rsidRDefault="00CF04B6">
      <w:r w:rsidRPr="00C61F60">
        <w:t>Morphologie : feuille, fleur (inflorescence), fruit. Anatomie : cellule végétale, feuille, tige, racine, différenciation et dédifférenciation cellulaire, énumération des tissus. Physiologie : nutrition minérale, photosynthèse, hormones de croissance, induction de la floraison.</w:t>
      </w:r>
    </w:p>
    <w:p w:rsidR="00285541" w:rsidRDefault="00CF04B6">
      <w:pPr>
        <w:pStyle w:val="Titre1"/>
      </w:pPr>
      <w:r w:rsidRPr="00C61F60">
        <w:t>MÉDIAGRAPHIE</w:t>
      </w:r>
    </w:p>
    <w:p w:rsidR="00285541" w:rsidRDefault="00CF04B6">
      <w:pPr>
        <w:jc w:val="left"/>
      </w:pPr>
      <w:r w:rsidRPr="00C61F60">
        <w:t xml:space="preserve">BACH, D., et al., </w:t>
      </w:r>
      <w:r w:rsidRPr="00952316">
        <w:rPr>
          <w:i/>
        </w:rPr>
        <w:t>Tome I : La cellule végétale, structure et fonctionnement. Tome II : 1</w:t>
      </w:r>
      <w:r w:rsidR="00952316" w:rsidRPr="00952316">
        <w:rPr>
          <w:i/>
          <w:vertAlign w:val="superscript"/>
        </w:rPr>
        <w:t>re</w:t>
      </w:r>
      <w:r w:rsidR="00952316">
        <w:rPr>
          <w:i/>
          <w:vertAlign w:val="superscript"/>
        </w:rPr>
        <w:t> </w:t>
      </w:r>
      <w:r w:rsidRPr="00952316">
        <w:rPr>
          <w:i/>
        </w:rPr>
        <w:t>partie. Systématique, 2</w:t>
      </w:r>
      <w:r w:rsidR="00952316" w:rsidRPr="00952316">
        <w:rPr>
          <w:i/>
          <w:vertAlign w:val="superscript"/>
        </w:rPr>
        <w:t>e</w:t>
      </w:r>
      <w:r w:rsidR="00952316">
        <w:rPr>
          <w:i/>
        </w:rPr>
        <w:t xml:space="preserve"> </w:t>
      </w:r>
      <w:r w:rsidRPr="00952316">
        <w:rPr>
          <w:i/>
        </w:rPr>
        <w:t>partie. Organisation et classification des plantes vasculaires.</w:t>
      </w:r>
      <w:r w:rsidRPr="00C61F60">
        <w:t xml:space="preserve"> Paris, Sedes, 1965–1967.</w:t>
      </w:r>
    </w:p>
    <w:p w:rsidR="00285541" w:rsidRDefault="00CF04B6">
      <w:pPr>
        <w:jc w:val="left"/>
      </w:pPr>
      <w:r w:rsidRPr="00C61F60">
        <w:t xml:space="preserve">MARIE-VICTORIN, Fr., </w:t>
      </w:r>
      <w:r w:rsidRPr="00952316">
        <w:rPr>
          <w:i/>
        </w:rPr>
        <w:t>Flore Laurentienne, 2</w:t>
      </w:r>
      <w:r w:rsidR="00952316" w:rsidRPr="00952316">
        <w:rPr>
          <w:i/>
          <w:vertAlign w:val="superscript"/>
        </w:rPr>
        <w:t>e</w:t>
      </w:r>
      <w:r w:rsidR="00952316">
        <w:rPr>
          <w:i/>
        </w:rPr>
        <w:t xml:space="preserve"> </w:t>
      </w:r>
      <w:r w:rsidRPr="00952316">
        <w:rPr>
          <w:i/>
        </w:rPr>
        <w:t>éd., revue et corrigée par E. Bouleau</w:t>
      </w:r>
      <w:r w:rsidRPr="00C61F60">
        <w:t>, Montréal, P.U.M., 1968, (829 p.).</w:t>
      </w:r>
    </w:p>
    <w:p w:rsidR="00285541" w:rsidRDefault="00CF04B6">
      <w:r w:rsidRPr="00C61F60">
        <w:rPr>
          <w:lang w:val="en-CA"/>
        </w:rPr>
        <w:t xml:space="preserve">STEINER, E., et al., </w:t>
      </w:r>
      <w:r w:rsidRPr="00952316">
        <w:rPr>
          <w:i/>
          <w:lang w:val="en-CA"/>
        </w:rPr>
        <w:t>Botany Laboratory Manual</w:t>
      </w:r>
      <w:r w:rsidRPr="00C61F60">
        <w:rPr>
          <w:lang w:val="en-CA"/>
        </w:rPr>
        <w:t>, N.Y., Holt-Rinehart and Winston, 1965.</w:t>
      </w:r>
    </w:p>
    <w:sectPr w:rsidR="00285541" w:rsidSect="00614EBE"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nstantia">
    <w:panose1 w:val="02030602050306030303"/>
    <w:charset w:val="00"/>
    <w:family w:val="roman"/>
    <w:pitch w:val="variable"/>
    <w:sig w:usb0="A00002EF" w:usb1="4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compat>
    <w:doNotSnapToGridInCell/>
    <w:doNotWrapTextWithPunct/>
    <w:doNotUseEastAsianBreakRules/>
    <w:growAutofit/>
  </w:compat>
  <w:rsids>
    <w:rsidRoot w:val="00CF04B6"/>
    <w:rsid w:val="00002EA4"/>
    <w:rsid w:val="00012E2A"/>
    <w:rsid w:val="00016164"/>
    <w:rsid w:val="00016FA6"/>
    <w:rsid w:val="00017E90"/>
    <w:rsid w:val="00022E90"/>
    <w:rsid w:val="00041952"/>
    <w:rsid w:val="00064271"/>
    <w:rsid w:val="000908C1"/>
    <w:rsid w:val="00091100"/>
    <w:rsid w:val="00093E40"/>
    <w:rsid w:val="00097C29"/>
    <w:rsid w:val="000A3E7E"/>
    <w:rsid w:val="000C07C5"/>
    <w:rsid w:val="000C5061"/>
    <w:rsid w:val="000E1BD9"/>
    <w:rsid w:val="001001A5"/>
    <w:rsid w:val="001066A4"/>
    <w:rsid w:val="001272ED"/>
    <w:rsid w:val="00130E6D"/>
    <w:rsid w:val="0013421D"/>
    <w:rsid w:val="001360EE"/>
    <w:rsid w:val="00143CA4"/>
    <w:rsid w:val="001446BD"/>
    <w:rsid w:val="001527A0"/>
    <w:rsid w:val="00153F02"/>
    <w:rsid w:val="00182076"/>
    <w:rsid w:val="0019787A"/>
    <w:rsid w:val="001B2218"/>
    <w:rsid w:val="001C29BF"/>
    <w:rsid w:val="001C55AB"/>
    <w:rsid w:val="001F197A"/>
    <w:rsid w:val="002003EF"/>
    <w:rsid w:val="00206A49"/>
    <w:rsid w:val="00211890"/>
    <w:rsid w:val="00214565"/>
    <w:rsid w:val="00244B1B"/>
    <w:rsid w:val="00244DFC"/>
    <w:rsid w:val="002534CB"/>
    <w:rsid w:val="00265EC7"/>
    <w:rsid w:val="00272338"/>
    <w:rsid w:val="00277DAF"/>
    <w:rsid w:val="00285541"/>
    <w:rsid w:val="00292C03"/>
    <w:rsid w:val="00293674"/>
    <w:rsid w:val="002B7BC1"/>
    <w:rsid w:val="002B7F56"/>
    <w:rsid w:val="002D05DC"/>
    <w:rsid w:val="002E33B2"/>
    <w:rsid w:val="002F58C6"/>
    <w:rsid w:val="00314D79"/>
    <w:rsid w:val="00326C3C"/>
    <w:rsid w:val="003370D1"/>
    <w:rsid w:val="00343C18"/>
    <w:rsid w:val="003965AE"/>
    <w:rsid w:val="003A0A37"/>
    <w:rsid w:val="003B6035"/>
    <w:rsid w:val="003C6B3A"/>
    <w:rsid w:val="003D456F"/>
    <w:rsid w:val="003D4C85"/>
    <w:rsid w:val="003F1B21"/>
    <w:rsid w:val="003F23EF"/>
    <w:rsid w:val="003F4809"/>
    <w:rsid w:val="00410122"/>
    <w:rsid w:val="00420D75"/>
    <w:rsid w:val="00456141"/>
    <w:rsid w:val="00466C8C"/>
    <w:rsid w:val="00470735"/>
    <w:rsid w:val="00470D64"/>
    <w:rsid w:val="0047259E"/>
    <w:rsid w:val="00473C3D"/>
    <w:rsid w:val="00473E62"/>
    <w:rsid w:val="004818D6"/>
    <w:rsid w:val="00486D19"/>
    <w:rsid w:val="004900FE"/>
    <w:rsid w:val="004933F9"/>
    <w:rsid w:val="00496D66"/>
    <w:rsid w:val="004A5175"/>
    <w:rsid w:val="004B5C05"/>
    <w:rsid w:val="004C7856"/>
    <w:rsid w:val="004C7C3E"/>
    <w:rsid w:val="004D15E1"/>
    <w:rsid w:val="004E033D"/>
    <w:rsid w:val="004E6BBD"/>
    <w:rsid w:val="004F35EC"/>
    <w:rsid w:val="004F5DBC"/>
    <w:rsid w:val="005005F1"/>
    <w:rsid w:val="00512D3F"/>
    <w:rsid w:val="005261EA"/>
    <w:rsid w:val="00550F37"/>
    <w:rsid w:val="00566203"/>
    <w:rsid w:val="00594C7C"/>
    <w:rsid w:val="005B7E3E"/>
    <w:rsid w:val="005D4D7F"/>
    <w:rsid w:val="005D6AA5"/>
    <w:rsid w:val="006126DB"/>
    <w:rsid w:val="00614EBE"/>
    <w:rsid w:val="006211F8"/>
    <w:rsid w:val="006345E4"/>
    <w:rsid w:val="0064443A"/>
    <w:rsid w:val="0065093F"/>
    <w:rsid w:val="00655352"/>
    <w:rsid w:val="00663210"/>
    <w:rsid w:val="006667C7"/>
    <w:rsid w:val="00685556"/>
    <w:rsid w:val="00696AF4"/>
    <w:rsid w:val="006A5A29"/>
    <w:rsid w:val="006B0BA5"/>
    <w:rsid w:val="006B1D69"/>
    <w:rsid w:val="006C5F73"/>
    <w:rsid w:val="006D3B1D"/>
    <w:rsid w:val="006F5C66"/>
    <w:rsid w:val="006F6D88"/>
    <w:rsid w:val="00707AC1"/>
    <w:rsid w:val="00714DC2"/>
    <w:rsid w:val="007406D1"/>
    <w:rsid w:val="00754603"/>
    <w:rsid w:val="007748BB"/>
    <w:rsid w:val="0077607F"/>
    <w:rsid w:val="00783B53"/>
    <w:rsid w:val="00787B18"/>
    <w:rsid w:val="00795BF5"/>
    <w:rsid w:val="007A4558"/>
    <w:rsid w:val="007B6083"/>
    <w:rsid w:val="007C669D"/>
    <w:rsid w:val="007D11E7"/>
    <w:rsid w:val="007D4C73"/>
    <w:rsid w:val="007E553D"/>
    <w:rsid w:val="007E7B8E"/>
    <w:rsid w:val="007F3FC6"/>
    <w:rsid w:val="007F50EF"/>
    <w:rsid w:val="00805D79"/>
    <w:rsid w:val="00807B03"/>
    <w:rsid w:val="00813711"/>
    <w:rsid w:val="00815BB9"/>
    <w:rsid w:val="00827CF9"/>
    <w:rsid w:val="00831BDA"/>
    <w:rsid w:val="008407F1"/>
    <w:rsid w:val="00844D9F"/>
    <w:rsid w:val="00877DE9"/>
    <w:rsid w:val="0089162D"/>
    <w:rsid w:val="008A6296"/>
    <w:rsid w:val="008B3FB8"/>
    <w:rsid w:val="008C1410"/>
    <w:rsid w:val="008D3EA9"/>
    <w:rsid w:val="008D7753"/>
    <w:rsid w:val="00904602"/>
    <w:rsid w:val="00905225"/>
    <w:rsid w:val="00915FBD"/>
    <w:rsid w:val="0092271D"/>
    <w:rsid w:val="00940DBE"/>
    <w:rsid w:val="00942E4D"/>
    <w:rsid w:val="009461F3"/>
    <w:rsid w:val="00952316"/>
    <w:rsid w:val="00954C5C"/>
    <w:rsid w:val="00960A38"/>
    <w:rsid w:val="00970464"/>
    <w:rsid w:val="00984BEB"/>
    <w:rsid w:val="00997DCB"/>
    <w:rsid w:val="009B1502"/>
    <w:rsid w:val="009C5D57"/>
    <w:rsid w:val="009D784F"/>
    <w:rsid w:val="00A000DA"/>
    <w:rsid w:val="00A038C9"/>
    <w:rsid w:val="00A22A38"/>
    <w:rsid w:val="00A81439"/>
    <w:rsid w:val="00A829F4"/>
    <w:rsid w:val="00A855F4"/>
    <w:rsid w:val="00A921FA"/>
    <w:rsid w:val="00AA0DEF"/>
    <w:rsid w:val="00AB05AE"/>
    <w:rsid w:val="00AB071B"/>
    <w:rsid w:val="00AD27FB"/>
    <w:rsid w:val="00AF1877"/>
    <w:rsid w:val="00B03FCA"/>
    <w:rsid w:val="00B04AE0"/>
    <w:rsid w:val="00B24C40"/>
    <w:rsid w:val="00B5259E"/>
    <w:rsid w:val="00B632BB"/>
    <w:rsid w:val="00B73477"/>
    <w:rsid w:val="00B91AB1"/>
    <w:rsid w:val="00B92E93"/>
    <w:rsid w:val="00B93733"/>
    <w:rsid w:val="00B939BC"/>
    <w:rsid w:val="00BA2D5D"/>
    <w:rsid w:val="00BA4E79"/>
    <w:rsid w:val="00BE684A"/>
    <w:rsid w:val="00BF1F85"/>
    <w:rsid w:val="00C16446"/>
    <w:rsid w:val="00C21817"/>
    <w:rsid w:val="00C42DB4"/>
    <w:rsid w:val="00C45FB2"/>
    <w:rsid w:val="00C61F60"/>
    <w:rsid w:val="00C76A95"/>
    <w:rsid w:val="00C82317"/>
    <w:rsid w:val="00CD4D9E"/>
    <w:rsid w:val="00CD53E8"/>
    <w:rsid w:val="00CF04B6"/>
    <w:rsid w:val="00CF40E8"/>
    <w:rsid w:val="00CF532E"/>
    <w:rsid w:val="00D013D5"/>
    <w:rsid w:val="00D0407C"/>
    <w:rsid w:val="00D14319"/>
    <w:rsid w:val="00D23350"/>
    <w:rsid w:val="00D33E43"/>
    <w:rsid w:val="00D4779A"/>
    <w:rsid w:val="00D50A78"/>
    <w:rsid w:val="00D57BC0"/>
    <w:rsid w:val="00D57E5C"/>
    <w:rsid w:val="00D645F9"/>
    <w:rsid w:val="00D64615"/>
    <w:rsid w:val="00D6545C"/>
    <w:rsid w:val="00D702A1"/>
    <w:rsid w:val="00D7516E"/>
    <w:rsid w:val="00D811B0"/>
    <w:rsid w:val="00D87C31"/>
    <w:rsid w:val="00D900DB"/>
    <w:rsid w:val="00DC27C4"/>
    <w:rsid w:val="00DC3369"/>
    <w:rsid w:val="00DC37FB"/>
    <w:rsid w:val="00DF1B81"/>
    <w:rsid w:val="00DF1F27"/>
    <w:rsid w:val="00DF761D"/>
    <w:rsid w:val="00E17ADB"/>
    <w:rsid w:val="00E62E13"/>
    <w:rsid w:val="00E813D7"/>
    <w:rsid w:val="00E931CB"/>
    <w:rsid w:val="00E940A6"/>
    <w:rsid w:val="00E96F49"/>
    <w:rsid w:val="00EA0C56"/>
    <w:rsid w:val="00EA78A7"/>
    <w:rsid w:val="00ED2653"/>
    <w:rsid w:val="00ED2BA2"/>
    <w:rsid w:val="00ED3683"/>
    <w:rsid w:val="00EE488F"/>
    <w:rsid w:val="00F03270"/>
    <w:rsid w:val="00F03775"/>
    <w:rsid w:val="00F04566"/>
    <w:rsid w:val="00F25CEF"/>
    <w:rsid w:val="00F2733A"/>
    <w:rsid w:val="00F30ACF"/>
    <w:rsid w:val="00F31096"/>
    <w:rsid w:val="00F64F62"/>
    <w:rsid w:val="00F90847"/>
    <w:rsid w:val="00F94309"/>
    <w:rsid w:val="00F96C84"/>
    <w:rsid w:val="00FA3690"/>
    <w:rsid w:val="00FB0062"/>
    <w:rsid w:val="00FC4F10"/>
    <w:rsid w:val="00FC529D"/>
    <w:rsid w:val="00FE2A15"/>
    <w:rsid w:val="00FF7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>
      <o:colormenu v:ext="edit" fillcolor="none [660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53D"/>
    <w:pPr>
      <w:jc w:val="both"/>
    </w:pPr>
    <w:rPr>
      <w:color w:val="7030A0"/>
      <w:sz w:val="24"/>
      <w:lang w:eastAsia="fr-CA"/>
    </w:rPr>
  </w:style>
  <w:style w:type="paragraph" w:styleId="Titre1">
    <w:name w:val="heading 1"/>
    <w:basedOn w:val="Normal"/>
    <w:next w:val="Normal"/>
    <w:link w:val="Titre1Car"/>
    <w:uiPriority w:val="9"/>
    <w:qFormat/>
    <w:rsid w:val="00B939B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C8A84" w:themeColor="accent1" w:themeShade="B5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B939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79B5B0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939BC"/>
    <w:rPr>
      <w:rFonts w:asciiTheme="majorHAnsi" w:eastAsiaTheme="majorEastAsia" w:hAnsiTheme="majorHAnsi" w:cstheme="majorBidi"/>
      <w:b/>
      <w:bCs/>
      <w:color w:val="4C8A84" w:themeColor="accent1" w:themeShade="B5"/>
      <w:sz w:val="28"/>
      <w:szCs w:val="28"/>
      <w:lang w:eastAsia="fr-CA"/>
    </w:rPr>
  </w:style>
  <w:style w:type="character" w:customStyle="1" w:styleId="Titre2Car">
    <w:name w:val="Titre 2 Car"/>
    <w:basedOn w:val="Policepardfaut"/>
    <w:link w:val="Titre2"/>
    <w:uiPriority w:val="9"/>
    <w:rsid w:val="00B939BC"/>
    <w:rPr>
      <w:rFonts w:asciiTheme="majorHAnsi" w:eastAsiaTheme="majorEastAsia" w:hAnsiTheme="majorHAnsi" w:cstheme="majorBidi"/>
      <w:b/>
      <w:bCs/>
      <w:color w:val="79B5B0" w:themeColor="accent1"/>
      <w:sz w:val="26"/>
      <w:szCs w:val="26"/>
      <w:lang w:eastAsia="fr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Monnaie">
  <a:themeElements>
    <a:clrScheme name="Currency">
      <a:dk1>
        <a:sysClr val="windowText" lastClr="000000"/>
      </a:dk1>
      <a:lt1>
        <a:sysClr val="window" lastClr="FFFFFF"/>
      </a:lt1>
      <a:dk2>
        <a:srgbClr val="4A606E"/>
      </a:dk2>
      <a:lt2>
        <a:srgbClr val="D1E1E3"/>
      </a:lt2>
      <a:accent1>
        <a:srgbClr val="79B5B0"/>
      </a:accent1>
      <a:accent2>
        <a:srgbClr val="B4BC4C"/>
      </a:accent2>
      <a:accent3>
        <a:srgbClr val="B77851"/>
      </a:accent3>
      <a:accent4>
        <a:srgbClr val="776A5B"/>
      </a:accent4>
      <a:accent5>
        <a:srgbClr val="B6AD76"/>
      </a:accent5>
      <a:accent6>
        <a:srgbClr val="95AEB1"/>
      </a:accent6>
      <a:hlink>
        <a:srgbClr val="3ECCED"/>
      </a:hlink>
      <a:folHlink>
        <a:srgbClr val="2C6C93"/>
      </a:folHlink>
    </a:clrScheme>
    <a:fontScheme name="Currency">
      <a:majorFont>
        <a:latin typeface="Constantia"/>
        <a:ea typeface=""/>
        <a:cs typeface=""/>
        <a:font script="Jpan" typeface="HG明朝E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Currency">
      <a:fillStyleLst>
        <a:solidFill>
          <a:schemeClr val="phClr"/>
        </a:solidFill>
        <a:gradFill rotWithShape="1">
          <a:gsLst>
            <a:gs pos="0">
              <a:schemeClr val="phClr">
                <a:tint val="80000"/>
                <a:satMod val="110000"/>
              </a:schemeClr>
            </a:gs>
            <a:gs pos="47500">
              <a:schemeClr val="phClr">
                <a:tint val="35000"/>
                <a:satMod val="110000"/>
              </a:schemeClr>
            </a:gs>
            <a:gs pos="58500">
              <a:schemeClr val="phClr">
                <a:tint val="35000"/>
                <a:satMod val="110000"/>
              </a:schemeClr>
            </a:gs>
            <a:gs pos="100000">
              <a:schemeClr val="phClr">
                <a:tint val="80000"/>
                <a:satMod val="110000"/>
              </a:schemeClr>
            </a:gs>
          </a:gsLst>
          <a:lin ang="3600000" scaled="1"/>
        </a:gradFill>
        <a:gradFill rotWithShape="1">
          <a:gsLst>
            <a:gs pos="0">
              <a:schemeClr val="phClr">
                <a:shade val="52000"/>
                <a:satMod val="105000"/>
              </a:schemeClr>
            </a:gs>
            <a:gs pos="47500">
              <a:schemeClr val="phClr">
                <a:shade val="89000"/>
                <a:satMod val="105000"/>
              </a:schemeClr>
            </a:gs>
            <a:gs pos="58500">
              <a:schemeClr val="phClr">
                <a:shade val="89000"/>
                <a:satMod val="105000"/>
              </a:schemeClr>
            </a:gs>
            <a:gs pos="100000">
              <a:schemeClr val="phClr">
                <a:shade val="52000"/>
                <a:satMod val="105000"/>
              </a:schemeClr>
            </a:gs>
          </a:gsLst>
          <a:lin ang="3600000" scaled="1"/>
        </a:gradFill>
      </a:fillStyleLst>
      <a:lnStyleLst>
        <a:ln w="10000" cap="flat" cmpd="sng" algn="ctr">
          <a:solidFill>
            <a:schemeClr val="phClr"/>
          </a:solidFill>
          <a:prstDash val="solid"/>
        </a:ln>
        <a:ln w="60000" cap="flat" cmpd="thickThin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38100" dir="5400000" algn="r" rotWithShape="0">
              <a:srgbClr val="000000">
                <a:alpha val="60000"/>
              </a:srgbClr>
            </a:outerShdw>
          </a:effectLst>
          <a:scene3d>
            <a:camera prst="isometricLeftDown" fov="0">
              <a:rot lat="0" lon="0" rev="0"/>
            </a:camera>
            <a:lightRig rig="harsh" dir="tl">
              <a:rot lat="0" lon="0" rev="8400000"/>
            </a:lightRig>
          </a:scene3d>
          <a:sp3d prstMaterial="flat">
            <a:bevelT w="38100" h="50800" prst="softRound"/>
          </a:sp3d>
        </a:effectStyle>
        <a:effectStyle>
          <a:effectLst>
            <a:outerShdw blurRad="38100" dist="38100" dir="5400000" algn="r" rotWithShape="0">
              <a:srgbClr val="000000">
                <a:alpha val="60000"/>
              </a:srgbClr>
            </a:outerShdw>
          </a:effectLst>
          <a:scene3d>
            <a:camera prst="isometricLeftDown" fov="0">
              <a:rot lat="0" lon="0" rev="0"/>
            </a:camera>
            <a:lightRig rig="harsh" dir="tl">
              <a:rot lat="0" lon="0" rev="8400000"/>
            </a:lightRig>
          </a:scene3d>
          <a:sp3d prstMaterial="flat">
            <a:bevelT w="38100" h="50800" prst="softRound"/>
          </a:sp3d>
        </a:effectStyle>
        <a:effectStyle>
          <a:effectLst>
            <a:outerShdw blurRad="50800" dist="63500" dir="5400000" algn="r" rotWithShape="0">
              <a:srgbClr val="000000">
                <a:alpha val="65000"/>
              </a:srgbClr>
            </a:outerShdw>
          </a:effectLst>
          <a:scene3d>
            <a:camera prst="isometricLeftDown" fov="0">
              <a:rot lat="0" lon="0" rev="0"/>
            </a:camera>
            <a:lightRig rig="harsh" dir="tl">
              <a:rot lat="0" lon="0" rev="8400000"/>
            </a:lightRig>
          </a:scene3d>
          <a:sp3d extrusionH="63500" contourW="38100" prstMaterial="flat">
            <a:bevelT w="50800" h="63500" prst="softRound"/>
            <a:contourClr>
              <a:schemeClr val="phClr">
                <a:tint val="5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20000"/>
                <a:satMod val="350000"/>
              </a:schemeClr>
            </a:gs>
          </a:gsLst>
          <a:path path="circle">
            <a:fillToRect l="100000" t="100000" r="100000" b="100000"/>
          </a:path>
        </a:gradFill>
        <a:blipFill>
          <a:blip xmlns:r="http://schemas.openxmlformats.org/officeDocument/2006/relationships" r:embed="rId1">
            <a:duotone>
              <a:schemeClr val="phClr">
                <a:tint val="90000"/>
                <a:satMod val="120000"/>
              </a:schemeClr>
              <a:schemeClr val="phClr">
                <a:tint val="84000"/>
                <a:shade val="97000"/>
                <a:satMod val="130000"/>
              </a:schemeClr>
            </a:duotone>
          </a:blip>
          <a:tile tx="0" ty="0" sx="60000" sy="60000" flip="none" algn="t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165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Benoit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gnb</dc:creator>
  <cp:keywords/>
  <dc:description/>
  <cp:lastModifiedBy>gnb</cp:lastModifiedBy>
  <cp:revision>11</cp:revision>
  <dcterms:created xsi:type="dcterms:W3CDTF">2007-01-22T19:00:00Z</dcterms:created>
  <dcterms:modified xsi:type="dcterms:W3CDTF">2007-02-06T14:26:00Z</dcterms:modified>
</cp:coreProperties>
</file>